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7D5A4" w14:textId="4064094E" w:rsidR="009B410A" w:rsidRPr="009B410A" w:rsidRDefault="00784B5B" w:rsidP="008C6841">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Дәріс </w:t>
      </w:r>
      <w:r>
        <w:rPr>
          <w:rFonts w:ascii="Times New Roman" w:eastAsia="Times New Roman" w:hAnsi="Times New Roman" w:cs="Times New Roman"/>
          <w:sz w:val="24"/>
          <w:szCs w:val="24"/>
          <w:lang w:eastAsia="ru-RU"/>
        </w:rPr>
        <w:t>3</w:t>
      </w:r>
      <w:r w:rsidR="009B410A" w:rsidRPr="009B410A">
        <w:rPr>
          <w:rFonts w:ascii="Times New Roman" w:eastAsia="Times New Roman" w:hAnsi="Times New Roman" w:cs="Times New Roman"/>
          <w:sz w:val="24"/>
          <w:szCs w:val="24"/>
          <w:lang w:val="kk-KZ" w:eastAsia="ru-RU"/>
        </w:rPr>
        <w:t xml:space="preserve"> Электрондық коммерцияның бизнес пен қоғамға әсер ету дәрежесі</w:t>
      </w:r>
    </w:p>
    <w:p w14:paraId="07CBE7B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14:paraId="348644D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коммерцияның әсері - тегіс қамтушы, коммерциялық компанияны да, сондай-ақ тұтастай қоғамды да қозғап өтетін болады. Оның әлеуетін толық пайдаланушы компания үшін электрондық коммерция түбегейлі өзгерістер мүмкіндігін ұсынады, бұл тапсырушылардың сұранымдарын өзгертетіні соншалық – олар рынокты түрлендіреді немесе тұтастай жаңа рынок жасайды. Басқа барлық компаниялар, жаңа технологияға ұқсатқысы келетін-дерін қосқанда, соңында рыноктың осы өзгерістерін және тапсырушылардың жаңа талаптарын сезінеді. Сондай-ақ қоғамның жекелеген мүшелері тауарлар мен қызметтерді алуға, ақпаратқа қол жеткізуге және үкіметпен өзара әрекеттесуге мүлдем жаңа мүмкіндіктер алады. Географиялық және уақытша шектеулерге қарамастан кеңінен таңдауға болады. Электрондық коммерцияның адамзат тіршілігіне жалпы әсерін автомобильдер немесе телефон байланыс-тарының таралуымен салыстыруға болады. Электрондық коммерция жеткізуші-лер мен тапсырушыларға бірдей шамада жаңа пайдалы мүмкіндіктерді пайдалануға жол береді.</w:t>
      </w:r>
    </w:p>
    <w:p w14:paraId="1E0B6CE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375EC03A" w14:textId="77777777" w:rsidR="009B410A" w:rsidRPr="009B410A" w:rsidRDefault="009B410A" w:rsidP="008C6841">
      <w:pPr>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1.2-кесте – Мүмкіндіктер мен басымдылықтар</w:t>
      </w:r>
    </w:p>
    <w:tbl>
      <w:tblPr>
        <w:tblW w:w="0" w:type="auto"/>
        <w:tblCellMar>
          <w:left w:w="0" w:type="dxa"/>
          <w:right w:w="0" w:type="dxa"/>
        </w:tblCellMar>
        <w:tblLook w:val="04A0" w:firstRow="1" w:lastRow="0" w:firstColumn="1" w:lastColumn="0" w:noHBand="0" w:noVBand="1"/>
      </w:tblPr>
      <w:tblGrid>
        <w:gridCol w:w="4785"/>
        <w:gridCol w:w="4785"/>
      </w:tblGrid>
      <w:tr w:rsidR="009B410A" w:rsidRPr="009B410A" w14:paraId="096DD4E8" w14:textId="77777777" w:rsidTr="009B410A">
        <w:tc>
          <w:tcPr>
            <w:tcW w:w="478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9013BC6"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Жеткізушілер мүмкіндіктері</w:t>
            </w:r>
          </w:p>
        </w:tc>
        <w:tc>
          <w:tcPr>
            <w:tcW w:w="47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F5EF871"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Тапсырушылар мүмкіндіктері</w:t>
            </w:r>
          </w:p>
        </w:tc>
      </w:tr>
      <w:tr w:rsidR="009B410A" w:rsidRPr="009B410A" w14:paraId="593E9F9C" w14:textId="77777777" w:rsidTr="009B410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8D7131" w14:textId="77777777" w:rsidR="009B410A" w:rsidRPr="009B410A" w:rsidRDefault="009B410A" w:rsidP="008C6841">
            <w:pPr>
              <w:autoSpaceDE w:val="0"/>
              <w:autoSpaceDN w:val="0"/>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жаһандық қатысу</w:t>
            </w:r>
          </w:p>
        </w:tc>
        <w:tc>
          <w:tcPr>
            <w:tcW w:w="4785" w:type="dxa"/>
            <w:tcBorders>
              <w:top w:val="nil"/>
              <w:left w:val="nil"/>
              <w:bottom w:val="single" w:sz="8" w:space="0" w:color="auto"/>
              <w:right w:val="single" w:sz="8" w:space="0" w:color="auto"/>
            </w:tcBorders>
            <w:tcMar>
              <w:top w:w="0" w:type="dxa"/>
              <w:left w:w="108" w:type="dxa"/>
              <w:bottom w:w="0" w:type="dxa"/>
              <w:right w:w="108" w:type="dxa"/>
            </w:tcMar>
            <w:hideMark/>
          </w:tcPr>
          <w:p w14:paraId="2E3C4562"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жаһандық таңдау</w:t>
            </w:r>
          </w:p>
        </w:tc>
      </w:tr>
      <w:tr w:rsidR="009B410A" w:rsidRPr="009B410A" w14:paraId="77C325CC" w14:textId="77777777" w:rsidTr="009B410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7E09CC"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бесекелестікке қабілеттілікті арттыру</w:t>
            </w:r>
          </w:p>
        </w:tc>
        <w:tc>
          <w:tcPr>
            <w:tcW w:w="4785" w:type="dxa"/>
            <w:tcBorders>
              <w:top w:val="nil"/>
              <w:left w:val="nil"/>
              <w:bottom w:val="single" w:sz="8" w:space="0" w:color="auto"/>
              <w:right w:val="single" w:sz="8" w:space="0" w:color="auto"/>
            </w:tcBorders>
            <w:tcMar>
              <w:top w:w="0" w:type="dxa"/>
              <w:left w:w="108" w:type="dxa"/>
              <w:bottom w:w="0" w:type="dxa"/>
              <w:right w:w="108" w:type="dxa"/>
            </w:tcMar>
            <w:hideMark/>
          </w:tcPr>
          <w:p w14:paraId="484AC70D"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қызмет сапасы</w:t>
            </w:r>
          </w:p>
        </w:tc>
      </w:tr>
      <w:tr w:rsidR="009B410A" w:rsidRPr="009B410A" w14:paraId="35B8B7F0" w14:textId="77777777" w:rsidTr="009B410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8DE86A"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тапсырушының қажеттіліктерін қанағаттандыру</w:t>
            </w:r>
          </w:p>
        </w:tc>
        <w:tc>
          <w:tcPr>
            <w:tcW w:w="4785" w:type="dxa"/>
            <w:tcBorders>
              <w:top w:val="nil"/>
              <w:left w:val="nil"/>
              <w:bottom w:val="single" w:sz="8" w:space="0" w:color="auto"/>
              <w:right w:val="single" w:sz="8" w:space="0" w:color="auto"/>
            </w:tcBorders>
            <w:tcMar>
              <w:top w:w="0" w:type="dxa"/>
              <w:left w:w="108" w:type="dxa"/>
              <w:bottom w:w="0" w:type="dxa"/>
              <w:right w:w="108" w:type="dxa"/>
            </w:tcMar>
            <w:hideMark/>
          </w:tcPr>
          <w:p w14:paraId="2319F42A"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тауарлар мен қызметтерді дербестендіру</w:t>
            </w:r>
          </w:p>
        </w:tc>
      </w:tr>
      <w:tr w:rsidR="009B410A" w:rsidRPr="009B410A" w14:paraId="383BF2A8" w14:textId="77777777" w:rsidTr="009B410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755360"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тауардың тапсырушыға жетер жолын қысқарту</w:t>
            </w:r>
          </w:p>
        </w:tc>
        <w:tc>
          <w:tcPr>
            <w:tcW w:w="4785" w:type="dxa"/>
            <w:tcBorders>
              <w:top w:val="nil"/>
              <w:left w:val="nil"/>
              <w:bottom w:val="single" w:sz="8" w:space="0" w:color="auto"/>
              <w:right w:val="single" w:sz="8" w:space="0" w:color="auto"/>
            </w:tcBorders>
            <w:tcMar>
              <w:top w:w="0" w:type="dxa"/>
              <w:left w:w="108" w:type="dxa"/>
              <w:bottom w:w="0" w:type="dxa"/>
              <w:right w:w="108" w:type="dxa"/>
            </w:tcMar>
            <w:hideMark/>
          </w:tcPr>
          <w:p w14:paraId="520C2D8A"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сұранысқа тез жауап беру</w:t>
            </w:r>
          </w:p>
        </w:tc>
      </w:tr>
      <w:tr w:rsidR="009B410A" w:rsidRPr="009B410A" w14:paraId="5AB01864" w14:textId="77777777" w:rsidTr="009B410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D8E39B"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шығынды үнемдеу</w:t>
            </w:r>
          </w:p>
        </w:tc>
        <w:tc>
          <w:tcPr>
            <w:tcW w:w="4785" w:type="dxa"/>
            <w:tcBorders>
              <w:top w:val="nil"/>
              <w:left w:val="nil"/>
              <w:bottom w:val="single" w:sz="8" w:space="0" w:color="auto"/>
              <w:right w:val="single" w:sz="8" w:space="0" w:color="auto"/>
            </w:tcBorders>
            <w:tcMar>
              <w:top w:w="0" w:type="dxa"/>
              <w:left w:w="108" w:type="dxa"/>
              <w:bottom w:w="0" w:type="dxa"/>
              <w:right w:w="108" w:type="dxa"/>
            </w:tcMar>
            <w:hideMark/>
          </w:tcPr>
          <w:p w14:paraId="11A0A394"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бағалардың төмендеуі</w:t>
            </w:r>
          </w:p>
        </w:tc>
      </w:tr>
      <w:tr w:rsidR="009B410A" w:rsidRPr="009B410A" w14:paraId="1840C538" w14:textId="77777777" w:rsidTr="009B410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0A493F0"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бизнесті жүргізудің жаңа мүмкіндіктері</w:t>
            </w:r>
          </w:p>
        </w:tc>
        <w:tc>
          <w:tcPr>
            <w:tcW w:w="4785" w:type="dxa"/>
            <w:tcBorders>
              <w:top w:val="nil"/>
              <w:left w:val="nil"/>
              <w:bottom w:val="single" w:sz="8" w:space="0" w:color="auto"/>
              <w:right w:val="single" w:sz="8" w:space="0" w:color="auto"/>
            </w:tcBorders>
            <w:tcMar>
              <w:top w:w="0" w:type="dxa"/>
              <w:left w:w="108" w:type="dxa"/>
              <w:bottom w:w="0" w:type="dxa"/>
              <w:right w:w="108" w:type="dxa"/>
            </w:tcMar>
            <w:hideMark/>
          </w:tcPr>
          <w:p w14:paraId="34CC2F56"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жаңа тауарлар мен қызметтер</w:t>
            </w:r>
          </w:p>
        </w:tc>
      </w:tr>
    </w:tbl>
    <w:p w14:paraId="07DABA0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14:paraId="6D20743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Жаһандық араласу/ жаһандық таңдау.</w:t>
      </w:r>
    </w:p>
    <w:p w14:paraId="1117469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коммерция шеңбері географиялық немесе ұлттық шекаралармен емес, компьютерлік желілердің таралуымен анықталады. Ең маңызды желілер жаһандық болуына қарай, электрондық коммерция, тіпті ең ұсақ жеткізушілердің, жаһандық араласуға жетуіне және әлемдік масштабта бизнеспен айналысуына жол береді. </w:t>
      </w:r>
    </w:p>
    <w:p w14:paraId="44FCA66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Осыған сәйкес тапсырушылар да, географиялық орналасуына қарамастан қажетті тауарлар мен қызметтерді ұсынушы барлық әлеуетті жеткізушілердің ішінен жаһандық таңдау мүмкіндігін алады.</w:t>
      </w:r>
    </w:p>
    <w:p w14:paraId="2B88FEE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 жеткізушілерге «тапсыруға жақынырақ» бола отырып, бәсекелестікке қабілеттіліктерін арттыруға мүмкіндік береді</w:t>
      </w:r>
    </w:p>
    <w:p w14:paraId="41A6FDC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 Көптеген компаниялар электрондық коммерция технологиясын, кеңінен сату алдындағы және одан кейінгі қолдауды ұсыну мақсатында пайдаланады, оған өнім туралы толық ақпарат беру, оны қолдану нұсқаулығы және тапсырушының талабына тез жауап беру енеді. Осыған орай, тапсырушы қызмет етудің жоғарылаған сапасын алады. </w:t>
      </w:r>
    </w:p>
    <w:p w14:paraId="3E63187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Тапсырушының талаптарын қанағаттандыру/тауарлар мен қызметтерді дербестендіру.</w:t>
      </w:r>
    </w:p>
    <w:p w14:paraId="7AAF085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өзара әрекеттесу құралдарын пайдалана отырып, компаниялар әрбір жеке тапсырушының сұранысы туралы ақпаратты алуына және жеке талаптарына сәйкес келетін өнімдер мен қызметтерді автоматты түрде беруіне болады. Осындай қызметтің деңгейін арнайы бағытталған жеткізушілер ұсынатын, бірақ жаппай рынок бағаларымен жеткізулерімен салыстырамыз. Қарапайым мысалдардың бірі ретінде, нақты оқырманға  қызықты мақалаларды, оған кезекті қол жеткізуге ыңғайланған кезінде,  ұсына отырып және оқылған материалдарды жинай жүріп, оның ығына жығылатын электрондық журнал қызмет етеді.</w:t>
      </w:r>
    </w:p>
    <w:p w14:paraId="27DED8E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lastRenderedPageBreak/>
        <w:t>Сұранысқа тез жауап беру.</w:t>
      </w:r>
    </w:p>
    <w:p w14:paraId="2B33E8D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 жеткізушіден тапсырушыға жүретін тауар жолын айтарлықтай қысқартуға жиі мүмкіндік береді. Тауарлар, көтерме және бөлшек қоймалар мен сауда орындары түріндегі дәстүрлі жүк тиейтін пункттарды айналып өтіп, тікелей өндірушіден тұтынушыға табысты түрде жеткізіледі. Электрондық коммерцияның сіңірген еңбегі – осындай тікелей жеткізу мүмкіндігінде емес (осындай нәтижеге, баспа каталогтарын пайдалана және телефонмен немесе поштамен тапсырыс беруді ұсына отырып та, қол жеткізуге болады), қаржылық, сондай-ақ уақытша шығындарды қысқартуға мүмкіндік бере отырып, оның ыңғайлы жолын ұсынуында.</w:t>
      </w:r>
    </w:p>
    <w:p w14:paraId="0179430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Ерекше жағдай – электрондық тәсілмен жеткізуге болатын өнімдер мен қызметтер, оның үстіне жеткізу жолы барынша қысқарады. Электрондық тәсіл көңіл көтеру индустриясы заттарын (фильмдер, бейне түсірілім, музыка, журналдар мен газеттер), ақпараттар, оқыту құралдарын (барлық түрлері қосқанда) жеткізу үшін кеңінен қолданылады және программалық қамтамасыз етуді құрастырумен және жеткізумен айналысатын компаниялар тиімді пайдаланады.</w:t>
      </w:r>
    </w:p>
    <w:p w14:paraId="240DF84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Осыған орай, тапсырушылар нақ өздеріне керекті өнімдерді алу мүмкіндігін, жергілікті жеткізушінің қоймасында бар тауарларға өз таңдауына шектеу қоймастан пайдаланады.</w:t>
      </w:r>
    </w:p>
    <w:p w14:paraId="46F9A7B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Шығындарды үнемдеу/ бағаларды төмендету.</w:t>
      </w:r>
    </w:p>
    <w:p w14:paraId="72A4BFA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коммерцияның басты жетістіктерінің бірі – келісім жасасу кезіндегі шығынды үнемдеу. Келісімді электрондық жолмен бекіту қызмет көрсету шығынының құнын біршама азайтады.  Осылайша, адамдар арасында электрондық қарым-қатынасты пайдалануға болатын кез келген бизнес-процесс шығындарды қысартуға арналған әлеуетке ие болады, ол өз кезегінде тапсырушыларға арналған бағалардың төмендеуіне әкеледі. </w:t>
      </w:r>
    </w:p>
    <w:p w14:paraId="3558946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Бизнесті жүргізудің жаңа мүмкіндіктері/жаңа өнімдер және қызметтер</w:t>
      </w:r>
    </w:p>
    <w:p w14:paraId="2241F249"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Қолданыстағы тауарлар мен қызметтер нарығын түрлендіруден басқа, электрондық коммерция мүлдем жаңа өнімдер мен қызметтердің пайда болу мүмкіндігін ашады. Мысал ретінде электрондық жеткізу мен қолдау қызметін, анықтама қызметтерін, байланыстарды бекіту жөніндегі қызмет (мысалы, әлеуетті тапсырушы мен жеткізуші арасында) және ақпараттық қызмет көрсетудің басқа да көптеген түрлерін келтіруге болады. </w:t>
      </w:r>
    </w:p>
    <w:p w14:paraId="56F89D3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Осы мүмкіндіктердің әр түрлілігіне қарамастан, олар белгілі шамада өзара байланысқан. Мысалы, бәсекелестікке қабілеттілік пен қызмет сапасын арттыру қызмет көрсетудің жаппай дербестелуімен шартталуы мүмкін, бұл кезде жеткізу жолын қысқарту шығынды азайтып, сөйтіп тауар құнының төмендеуіне әсер етеді.</w:t>
      </w:r>
    </w:p>
    <w:p w14:paraId="1AB3C70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Электрондық коммерциядан түсетін нақты коммерциялық пайда мысалдары:</w:t>
      </w:r>
    </w:p>
    <w:p w14:paraId="7DE844E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жарнамаға шығынның аз кетуі;</w:t>
      </w:r>
    </w:p>
    <w:p w14:paraId="52A7D2B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ең бастысы электрондық тәсілмен алынуы мүмкін тауарларға жеткізу шығынының азаюы;</w:t>
      </w:r>
    </w:p>
    <w:p w14:paraId="0B4C9CD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дизайн мен өндіріс шығынын қысқарту;</w:t>
      </w:r>
    </w:p>
    <w:p w14:paraId="152A9BF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жақсартылған рынок талдауы және стратегиялық жоспарлау;</w:t>
      </w:r>
    </w:p>
    <w:p w14:paraId="1EADDF6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рыноктағы «қуыстарды» маркетингтік зерттеуіне арналған зор мүмкіндіктер, орасан корпорациялар үшін де, сондай-ақ шағын фирмалар үшін де рынокқа бірдей қол жеткізу;</w:t>
      </w:r>
    </w:p>
    <w:p w14:paraId="0F5FF3E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 xml:space="preserve">өтімнің жаңа рыногына қол жеткізу, тапсырушыларды </w:t>
      </w:r>
      <w:proofErr w:type="gramStart"/>
      <w:r w:rsidRPr="009B410A">
        <w:rPr>
          <w:rFonts w:ascii="Times New Roman" w:eastAsia="Times New Roman" w:hAnsi="Times New Roman" w:cs="Times New Roman"/>
          <w:sz w:val="24"/>
          <w:szCs w:val="24"/>
          <w:lang w:val="kk-KZ" w:eastAsia="ru-RU"/>
        </w:rPr>
        <w:t>дайындамаға  тарту</w:t>
      </w:r>
      <w:proofErr w:type="gramEnd"/>
      <w:r w:rsidRPr="009B410A">
        <w:rPr>
          <w:rFonts w:ascii="Times New Roman" w:eastAsia="Times New Roman" w:hAnsi="Times New Roman" w:cs="Times New Roman"/>
          <w:sz w:val="24"/>
          <w:szCs w:val="24"/>
          <w:lang w:val="kk-KZ" w:eastAsia="ru-RU"/>
        </w:rPr>
        <w:t xml:space="preserve"> және жаңа өнімдер мен қызметтерді енгізу.</w:t>
      </w:r>
    </w:p>
    <w:p w14:paraId="6F1D4A1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xml:space="preserve">Рынокты зерттеу нәтижелері, мысалы өтімнің нақты нарығы мен елдер жөнінде ақпарат (рынок мүмкіндіктері, іс қағаздарын жүргізу саласы, нақты өнімдер мен қызметтер бойынша қолданыстағы реттеу), шолулар мен рынок жөнінде статистикалық деректерді автоматтық түрде дайындау – тапсырушыға электрондық түрде жедел жеткізілуі мүмкін және рынокта күнделікті жағдайды айтарлықтай жақсартуға ықпал етуі мүмкін. </w:t>
      </w:r>
    </w:p>
    <w:p w14:paraId="51B1799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Компаниялар арасындағы байланыстар электрондық іскер каталогтар мен жақсартылған жалпы мемлекеттік және аймақтық ақпараттық телекоммуника-циялар көмегімен айтарлықтай жеңілдетілуі мүмкін. Компаниялар мен тапсырушылар арасындағы өзара қарым-қатынас,  электрондық жарнама мен дүкендерді қосқанда, әр түрлі тәсілдермен қолдау табуы мүмкін. Компаниялар өз өнімдері мен қызметтері жөнінде, бұйымның техникалық егжей-тегжейін, пайдалану жөнінде басшылықты, сондай-ақ көрсеткіштермен және іздеу утилиттерімен жабдықталған, анағұрлым жиі туындайтын сұрақтарға берілетін жауаптарды қосқанда,  ең толық ақпарат бере алады. </w:t>
      </w:r>
    </w:p>
    <w:p w14:paraId="2092E9F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Соңғы жылдар ішінде бизнес тиімділігін арттыру жөніндегі талпыныс, іскерлік қатынасқа кіріскен компаниялар мен тапсырушылар арасындағы шекараны «жоя» отырып, үлкен нәтижелер әкелуде. Өте тамаша мысал ретінде «виртуалды кәсіпорынның» пайда болуын алуға болады, онда компания жобасына қатысушының әрқайсысы, өзіне рыноктағы нақты сұранысты қанағаттандыру мақсатын қойған, тығыз қарым-қатынастағы компаниялар маңайында өзінің жеке ролін атқарады.</w:t>
      </w:r>
    </w:p>
    <w:p w14:paraId="3F26FE4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Компаниялар - тауарлар мен қызметтерді өндіруден бастап, оларды таратып, сатуға дейінгі барлық істерімен айналысатын біртұтас виртуалды компанияларға біріге алатын жерде, осындай процеске енгізілген индустрия құрылымынан қатты өзгеріс күтуге болады. Бұның мысалы ретінде телешопингтің  (яғни тауарды тарату кезінде делдалдықтан біртіндеп құтылу мүмкіндіктері) тауар шығарушылар мен сату жүйесі арасына күштер қойып шығуға тиетін ықпалы қызмет етеді. Бұл жағдайда өндіріс секторлары мен таратулар арасындағы дәстүрлі шекара онша маңызды болмайды.</w:t>
      </w:r>
    </w:p>
    <w:p w14:paraId="55F5B73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Құрылымдық өзгерістің басқа мысалы ретінде денсаулық сақтау индустриясын алуға болады, олар денсаулық сақтау менеджментімен  айналы-сады, бұл оларға рынокта үкіметтік агенттіктер, дәрігерлер, фармацевтикалық өнеркәсіп және т.б. арасында негізгі делдал болуларына мүмкіндік береді. Мұндай жағдайда электрондық коммерция - рынокта мүдделі тараптар арасындағы ақпараттар арқылы денсаулық сақтаумен байланысқан электрон-дық алмасуды білдіреді. Мұндай компаниялар өз бетінше алғанда, фармацевтикалық өнеркәсіпте өндірушілердің, олардың мол деректер базасына қол жеткізу мақсатындағы, осы компаниялармен жақында басталған  тік шоғырлануының маңыздылығына қарағанда онша маңызды емес.</w:t>
      </w:r>
    </w:p>
    <w:p w14:paraId="4E81C4F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636F173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37DA9C1B" w14:textId="68B36DE4" w:rsidR="009B410A" w:rsidRPr="009B410A" w:rsidRDefault="009B410A" w:rsidP="00784B5B">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 мысалдары</w:t>
      </w:r>
    </w:p>
    <w:p w14:paraId="58A38CB3" w14:textId="77777777" w:rsidR="009B410A" w:rsidRPr="009B410A" w:rsidRDefault="009B410A" w:rsidP="008C6841">
      <w:pPr>
        <w:spacing w:after="0" w:line="240" w:lineRule="auto"/>
        <w:ind w:firstLine="709"/>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1559A78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коммерцияның әр түрлі қолдану салаларында табысты жұмыс істеуінің көп мысалдары бар. Көрнектілік үшін солардың бірнешеуін келтірейік.</w:t>
      </w:r>
    </w:p>
    <w:p w14:paraId="2B7C296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Бөлшек сауда.</w:t>
      </w:r>
    </w:p>
    <w:p w14:paraId="554E167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IBS </w:t>
      </w:r>
      <w:r w:rsidRPr="009B410A">
        <w:rPr>
          <w:rFonts w:ascii="Times New Roman" w:eastAsia="Times New Roman" w:hAnsi="Times New Roman" w:cs="Times New Roman"/>
          <w:sz w:val="24"/>
          <w:szCs w:val="24"/>
          <w:u w:val="single"/>
          <w:lang w:val="kk-KZ" w:eastAsia="ru-RU"/>
        </w:rPr>
        <w:t xml:space="preserve">(http://www.bookshop.co.uk). </w:t>
      </w:r>
    </w:p>
    <w:p w14:paraId="2FC07AD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Бұл кітап дүкені Web торабы ретінде ғана жұмыс істейді – оның физикалық сауда орны жоқ.  Дүкен техникалық кітаптар сатумен жабдықталған және бүгін 1 200 000 астам атауларды ұсынады. Дүкенге келетін сатып алушылар кітап тізімін қарап шығуларына, іздеу үшін түйін сөздерді пайдалануға, әрбір кітап туралы, аңдатпаны, библиографияны, мазмұнын, пікірді және осы кітап оқырмандарының қауымы туралы ақпаратты қосып, толық ақпарат алуларына болады.  Сатып алушылар, кейін жеткізудің халықаралық баспа арналары арқылы жеткізілетін кітапқа тапсырыс берулеріне, оны төлеулеріне болады.   </w:t>
      </w:r>
    </w:p>
    <w:p w14:paraId="063673D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Virtual Vineyards </w:t>
      </w:r>
      <w:r w:rsidRPr="009B410A">
        <w:rPr>
          <w:rFonts w:ascii="Times New Roman" w:eastAsia="Times New Roman" w:hAnsi="Times New Roman" w:cs="Times New Roman"/>
          <w:sz w:val="24"/>
          <w:szCs w:val="24"/>
          <w:u w:val="single"/>
          <w:lang w:val="kk-KZ" w:eastAsia="ru-RU"/>
        </w:rPr>
        <w:t>(http://www. virtualvin.com).</w:t>
      </w:r>
    </w:p>
    <w:p w14:paraId="7207974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Жоғарыда сипатталған кітап дүкені, Virtual Vineyards шараптар дүкені Web торабы ретінде ғана жұмыс істейді. Бұл дүкен шараптар мен таңдаулы тағамдарды ұсынады, ол бірнеше ұсақ калифорниялық шарап өндірушілеріне арналған сауда орны болып табылады. Дүкен шараптар мен таңдаулы тағамдардың көп түрлілігі туралы толық ақпарат, сондай-ақ кеңес (электрондық поштаны пайдалана отырып) береді. Сатып алушылар тапсырыс беруіне және кредиттік карточкаларды немесе электрондық ақшаларды пайдалана отырып, төлеуіне болады.</w:t>
      </w:r>
    </w:p>
    <w:p w14:paraId="2842C51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жолмен берілген тапсырыстар дүкен офисінен Сан-Хоседегі Напа Вэлли қоймасына қайта жіберіледі. Жеткізу Federal Express қызметімен жүзеге асырылады. Сатып алушылар жеткізу процесін Federal Express Web-торабы арқылы  бақылауларына болады. </w:t>
      </w:r>
    </w:p>
    <w:p w14:paraId="24902F5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Қаржылар. </w:t>
      </w:r>
    </w:p>
    <w:p w14:paraId="4A740B1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Barclays Bank </w:t>
      </w:r>
      <w:r w:rsidRPr="009B410A">
        <w:rPr>
          <w:rFonts w:ascii="Times New Roman" w:eastAsia="Times New Roman" w:hAnsi="Times New Roman" w:cs="Times New Roman"/>
          <w:sz w:val="24"/>
          <w:szCs w:val="24"/>
          <w:u w:val="single"/>
          <w:lang w:val="kk-KZ" w:eastAsia="ru-RU"/>
        </w:rPr>
        <w:t>(http://www. barclaus.co.uk).</w:t>
      </w:r>
    </w:p>
    <w:p w14:paraId="60DA7B4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Көптеген банктар шоттарға электрондық жолмен жетуді ұсынады. АҚШ қауіпсіздік технологиясы экспортына бақылаудың әлсіреуі Barclays банкіне, өз клиенттеріне олардың үйдегі компьютерлерінен толық банктік қызмет көрсетуді ұсына отырып, осындай сервисті  кеңейтуіне мүмкіндік берді. </w:t>
      </w:r>
    </w:p>
    <w:p w14:paraId="38B8FBC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es-ES" w:eastAsia="ru-RU"/>
        </w:rPr>
        <w:t xml:space="preserve">ESI </w:t>
      </w:r>
      <w:r w:rsidRPr="009B410A">
        <w:rPr>
          <w:rFonts w:ascii="Times New Roman" w:eastAsia="Times New Roman" w:hAnsi="Times New Roman" w:cs="Times New Roman"/>
          <w:sz w:val="24"/>
          <w:szCs w:val="24"/>
          <w:u w:val="single"/>
          <w:lang w:val="es-ES" w:eastAsia="ru-RU"/>
        </w:rPr>
        <w:t>(http://www. esi.co.uk)</w:t>
      </w:r>
      <w:r w:rsidRPr="009B410A">
        <w:rPr>
          <w:rFonts w:ascii="Times New Roman" w:eastAsia="Times New Roman" w:hAnsi="Times New Roman" w:cs="Times New Roman"/>
          <w:sz w:val="24"/>
          <w:szCs w:val="24"/>
          <w:u w:val="single"/>
          <w:lang w:val="en-US" w:eastAsia="ru-RU"/>
        </w:rPr>
        <w:t>.</w:t>
      </w:r>
    </w:p>
    <w:p w14:paraId="2BA10EF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es-ES" w:eastAsia="ru-RU"/>
        </w:rPr>
        <w:t xml:space="preserve">Electronic Share Information Ltd </w:t>
      </w:r>
      <w:r w:rsidRPr="009B410A">
        <w:rPr>
          <w:rFonts w:ascii="Times New Roman" w:eastAsia="Times New Roman" w:hAnsi="Times New Roman" w:cs="Times New Roman"/>
          <w:sz w:val="24"/>
          <w:szCs w:val="24"/>
          <w:lang w:val="kk-KZ" w:eastAsia="ru-RU"/>
        </w:rPr>
        <w:t>компаниясы қор биржасындағы бағалар туралы ақпаратқа электрондық қол жеткізуді және акцияларды электрондық сатып алу-сату мүмкіндігін ұсынады. Компаниялар тапсырушылары бағаларды және FTSE 100 индексін лондондық биржалардан біле алады, акцияларды Sharelink көмегімен электрондық тәсілмен сатып алуына және сатуға, бірқатар аналитикалық және зерттеу құралдарын пайдалануға, компаниялар мен акциялары туралы ақпараттар алуына, акция құнының өзгеруі туралы автоматтық хабарлама тапсыруға және жіберілген кезде жағдайдың бағалауын алуына болады.</w:t>
      </w:r>
    </w:p>
    <w:p w14:paraId="5CC6E5C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Тарату. </w:t>
      </w:r>
    </w:p>
    <w:p w14:paraId="5568EB6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DIPA.</w:t>
      </w:r>
    </w:p>
    <w:p w14:paraId="351C143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DIPA GmbH жоғары сапалы фотосурет бейнелерін жеткізеді. Пайдаланушылар суреттердің ұлан-ғайыр кітапханасын қарастыруына және бейнелерге тапсырыс жасауларына болады, оларды кейін спутниктік байланыс құралдары арқылы жеткізеді.</w:t>
      </w:r>
    </w:p>
    <w:p w14:paraId="1140E34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es-ES" w:eastAsia="ru-RU"/>
        </w:rPr>
        <w:t xml:space="preserve">Oracle </w:t>
      </w:r>
      <w:r w:rsidRPr="009B410A">
        <w:rPr>
          <w:rFonts w:ascii="Times New Roman" w:eastAsia="Times New Roman" w:hAnsi="Times New Roman" w:cs="Times New Roman"/>
          <w:sz w:val="24"/>
          <w:szCs w:val="24"/>
          <w:u w:val="single"/>
          <w:lang w:val="es-ES" w:eastAsia="ru-RU"/>
        </w:rPr>
        <w:t>(http://www. oracle.com)</w:t>
      </w:r>
      <w:r w:rsidRPr="009B410A">
        <w:rPr>
          <w:rFonts w:ascii="Times New Roman" w:eastAsia="Times New Roman" w:hAnsi="Times New Roman" w:cs="Times New Roman"/>
          <w:sz w:val="24"/>
          <w:szCs w:val="24"/>
          <w:u w:val="single"/>
          <w:lang w:val="en-US" w:eastAsia="ru-RU"/>
        </w:rPr>
        <w:t>.</w:t>
      </w:r>
    </w:p>
    <w:p w14:paraId="015C6F2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Әлеуетті тапсырушылар </w:t>
      </w:r>
      <w:r w:rsidRPr="009B410A">
        <w:rPr>
          <w:rFonts w:ascii="Times New Roman" w:eastAsia="Times New Roman" w:hAnsi="Times New Roman" w:cs="Times New Roman"/>
          <w:sz w:val="24"/>
          <w:szCs w:val="24"/>
          <w:lang w:val="es-ES" w:eastAsia="ru-RU"/>
        </w:rPr>
        <w:t xml:space="preserve">Oracle </w:t>
      </w:r>
      <w:r w:rsidRPr="009B410A">
        <w:rPr>
          <w:rFonts w:ascii="Times New Roman" w:eastAsia="Times New Roman" w:hAnsi="Times New Roman" w:cs="Times New Roman"/>
          <w:sz w:val="24"/>
          <w:szCs w:val="24"/>
          <w:lang w:val="kk-KZ" w:eastAsia="ru-RU"/>
        </w:rPr>
        <w:t>Web торабына келуіне және компания өнімдері туралы ақпараттарға қол жеткізуіне болады. Мұнда көптеген өнімдердің тегін сынамалық нұсқаларын алуға және олардың толық нұсқаларын электрондық тәсілмен сатып алуына болады.</w:t>
      </w:r>
    </w:p>
    <w:p w14:paraId="5220891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Сату алдындағы және соңындағы қолдау. </w:t>
      </w:r>
    </w:p>
    <w:p w14:paraId="4537854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Hewlett Packard </w:t>
      </w:r>
      <w:r w:rsidRPr="009B410A">
        <w:rPr>
          <w:rFonts w:ascii="Times New Roman" w:eastAsia="Times New Roman" w:hAnsi="Times New Roman" w:cs="Times New Roman"/>
          <w:sz w:val="24"/>
          <w:szCs w:val="24"/>
          <w:u w:val="single"/>
          <w:lang w:val="kk-KZ" w:eastAsia="ru-RU"/>
        </w:rPr>
        <w:t>(http://www. hp.com).</w:t>
      </w:r>
    </w:p>
    <w:p w14:paraId="7E01D9B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Hewlett Packard компаниясының Web торабы пайдаланушыға компания туралы жалпы ақпарат, жаңалықтар, компаниялардың әлемдегі  өкілеттілігі туралы ақпарат, жаңа өнімдер анонсы және компания өнімдері мен қызметтерінің кең спектрі туралы толық ақпарат енгізілген ақпараттың мың бетін ұсынады. </w:t>
      </w:r>
    </w:p>
    <w:p w14:paraId="280B817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en-US" w:eastAsia="ru-RU"/>
        </w:rPr>
        <w:t xml:space="preserve">GE Plastics </w:t>
      </w:r>
      <w:r w:rsidRPr="009B410A">
        <w:rPr>
          <w:rFonts w:ascii="Times New Roman" w:eastAsia="Times New Roman" w:hAnsi="Times New Roman" w:cs="Times New Roman"/>
          <w:sz w:val="24"/>
          <w:szCs w:val="24"/>
          <w:u w:val="single"/>
          <w:lang w:val="en-US" w:eastAsia="ru-RU"/>
        </w:rPr>
        <w:t>(http://www.ge.com/plastics</w:t>
      </w:r>
      <w:r w:rsidRPr="009B410A">
        <w:rPr>
          <w:rFonts w:ascii="Times New Roman" w:eastAsia="Times New Roman" w:hAnsi="Times New Roman" w:cs="Times New Roman"/>
          <w:sz w:val="24"/>
          <w:szCs w:val="24"/>
          <w:lang w:val="en-US" w:eastAsia="ru-RU"/>
        </w:rPr>
        <w:t xml:space="preserve">). </w:t>
      </w:r>
    </w:p>
    <w:p w14:paraId="5C73005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en-US" w:eastAsia="ru-RU"/>
        </w:rPr>
        <w:t xml:space="preserve">GE Plastics </w:t>
      </w:r>
      <w:r w:rsidRPr="009B410A">
        <w:rPr>
          <w:rFonts w:ascii="Times New Roman" w:eastAsia="Times New Roman" w:hAnsi="Times New Roman" w:cs="Times New Roman"/>
          <w:sz w:val="24"/>
          <w:szCs w:val="24"/>
          <w:lang w:val="kk-KZ" w:eastAsia="ru-RU"/>
        </w:rPr>
        <w:t>компаниясы техникалық пластмасса өндірісі саласында индустрия көшбасшысы болып табылады. Компания Web торабы пайдалану-шыға өнім шолуын, әрбір материал қасиеттері туралы толық ақпарат, сондай-ақ компания материалдарына қолданылған дизайн жөніндегі нұсқаулықтар мен ұсыныстарды береді. Әрбір келушіге, GE материалдарымен жұмыс жөнінде өз ұсыныстарын жасай отырып,  «Аптаның техникалық кеңесі» конкурсына қатысу мүмкіндігі беріледі. Компания үздік кеңестерді техникалық кеңестер мұрағаты беттеріне енгізу үшін іріктейді.</w:t>
      </w:r>
    </w:p>
    <w:p w14:paraId="42E1977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Инженерлік дизайн.</w:t>
      </w:r>
    </w:p>
    <w:p w14:paraId="637DC75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Ford.</w:t>
      </w:r>
    </w:p>
    <w:p w14:paraId="6B5442A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Ford компаниясының инженерлік командалары, компанияның корпоратив-тік желісін қолданумен қатар, бүкіл әлем бойынша жаңа автомобиль мотор-ларын жасауға бірлесіп қатысады. Осындай дайындамаларды қолдау жүйесі нақты уақыттағы және бірлесіп пайдаланылатын «сызу тақтасының» бейнекон-ференциялар жүйесінің қиысуы болып табылады. Конференцияның әрбір қатысушысы осы тақтада сызуына және жазуына, оған нысандарды орналас-тыруына немесе оларды түрлендіруіне болады. Тақтадағы барлық өзгертулер бірден басқа қатысушыларға көрініп тұрады. Нысандардың қолдаудағы типтерінде CAD нысандары, мәтіндік құжаттар және бейне клиптер бар. </w:t>
      </w:r>
    </w:p>
    <w:p w14:paraId="1A8D941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de-DE" w:eastAsia="ru-RU"/>
        </w:rPr>
        <w:t xml:space="preserve">GEN </w:t>
      </w:r>
      <w:r w:rsidRPr="009B410A">
        <w:rPr>
          <w:rFonts w:ascii="Times New Roman" w:eastAsia="Times New Roman" w:hAnsi="Times New Roman" w:cs="Times New Roman"/>
          <w:sz w:val="24"/>
          <w:szCs w:val="24"/>
          <w:u w:val="single"/>
          <w:lang w:val="de-DE" w:eastAsia="ru-RU"/>
        </w:rPr>
        <w:t>(http://www.gen.net)</w:t>
      </w:r>
      <w:r w:rsidRPr="009B410A">
        <w:rPr>
          <w:rFonts w:ascii="Times New Roman" w:eastAsia="Times New Roman" w:hAnsi="Times New Roman" w:cs="Times New Roman"/>
          <w:sz w:val="24"/>
          <w:szCs w:val="24"/>
          <w:u w:val="single"/>
          <w:lang w:val="en-US" w:eastAsia="ru-RU"/>
        </w:rPr>
        <w:t>.</w:t>
      </w:r>
    </w:p>
    <w:p w14:paraId="4476788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de-DE" w:eastAsia="ru-RU"/>
        </w:rPr>
        <w:t xml:space="preserve">GEN (Global Engineering Network) </w:t>
      </w:r>
      <w:r w:rsidRPr="009B410A">
        <w:rPr>
          <w:rFonts w:ascii="Times New Roman" w:eastAsia="Times New Roman" w:hAnsi="Times New Roman" w:cs="Times New Roman"/>
          <w:sz w:val="24"/>
          <w:szCs w:val="24"/>
          <w:lang w:val="kk-KZ" w:eastAsia="ru-RU"/>
        </w:rPr>
        <w:t>көптеген еуропа елдерінің қатысушыларын біріктіреді. Siemens Nixdorf компаниясы координатор болып табылады. GEN «инженерлік білімнің рыноктық кеңістігі» болып табылады, онда компоненттер мен жинақталатын тетіктердің және өздерінің жаңа өнімдеріне осы компоненттер мен жинақталатындарды пайдалана алатындар-дың жеткізушілері бір-бірімен кездеседі. Жеткізушілер GEN желісіне толық техникалық ақпарат береді (CAD үш өлшемді сызбалары болуы мүмкін). Әлеуетті тапсырушылар, жеткізушілердің ақпаратын басшылыққа ала отырып, оларға анағұрлым лайық компоненттер мен жинақталатындарды, өздерінің өнімдерін жобалаудың бастапқы кезеңдерінде пайдалана отырып, таңдауына, сосын эксперимент жүргізуіне болады.</w:t>
      </w:r>
    </w:p>
    <w:p w14:paraId="0FFB259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Бизнесті қолдау.</w:t>
      </w:r>
    </w:p>
    <w:p w14:paraId="30DDFB6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citiusNet (e-mail: citius@mail.citius.fr).</w:t>
      </w:r>
    </w:p>
    <w:p w14:paraId="4F03822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СitiusNet бизнес-бизнес категориясының электрондық коммерциясын қолдау жүйесі болып табылады. Ол үш негізгі құраушылармен берілген: altius, citius және fortius. Altius – бұл өнеркәсіптік тауарлар мен ұйымдастыру техникасының электрондық каталогы. Сitius – сауда мәмілесін жасауға мүмкін-дік беретін жүйе.  Fortius – деректермен электрондық алмасу технологиясын (EDI) пайдаланумен жүретін электрондық төлемді қолдайды, әрі altius каталогтарынан таңдап алынған және citius көмегімен сатылған тауарларды төлеу үшін ғана емес, сондай-ақ зейнеткерлік және сақтандыру төлемдері сияқты ұдайы аударымдар үшін де қолданылады. Бұл жүйелерді DDR (Лион, Франция) компаниясы, Испания, Бельгия, Германия және Италияның бірнеше серіктестерінің қатысуымен құрастырған.</w:t>
      </w:r>
    </w:p>
    <w:p w14:paraId="54A5E2A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DDR бизнесті жаһандық масштабқа дейін қолдауды кеңейтуді жоспар-лайды. Жүйеге жазылушылар өздерінің негізгі қызметтерінде, өздерінің барлық күнделікті операцияларын жүргізуде citiusNet қызметтеріне (банктік қызмет көрсету, әкімшіліктендіру, зейнеткерлік қорлар және т.б.) сенім артып, толық топталу мүмкіндігін алады. </w:t>
      </w:r>
    </w:p>
    <w:p w14:paraId="7AF5B0A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Баспа.</w:t>
      </w:r>
    </w:p>
    <w:p w14:paraId="3E87048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en-US" w:eastAsia="ru-RU"/>
        </w:rPr>
        <w:t xml:space="preserve">The Times </w:t>
      </w:r>
      <w:r w:rsidRPr="009B410A">
        <w:rPr>
          <w:rFonts w:ascii="Times New Roman" w:eastAsia="Times New Roman" w:hAnsi="Times New Roman" w:cs="Times New Roman"/>
          <w:sz w:val="24"/>
          <w:szCs w:val="24"/>
          <w:u w:val="single"/>
          <w:lang w:val="en-US" w:eastAsia="ru-RU"/>
        </w:rPr>
        <w:t>(http://www.the-times.co.uk).</w:t>
      </w:r>
    </w:p>
    <w:p w14:paraId="5CC4C33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en-US" w:eastAsia="ru-RU"/>
        </w:rPr>
        <w:t xml:space="preserve">Times </w:t>
      </w:r>
      <w:r w:rsidRPr="009B410A">
        <w:rPr>
          <w:rFonts w:ascii="Times New Roman" w:eastAsia="Times New Roman" w:hAnsi="Times New Roman" w:cs="Times New Roman"/>
          <w:sz w:val="24"/>
          <w:szCs w:val="24"/>
          <w:lang w:val="kk-KZ" w:eastAsia="ru-RU"/>
        </w:rPr>
        <w:t xml:space="preserve">және </w:t>
      </w:r>
      <w:r w:rsidRPr="009B410A">
        <w:rPr>
          <w:rFonts w:ascii="Times New Roman" w:eastAsia="Times New Roman" w:hAnsi="Times New Roman" w:cs="Times New Roman"/>
          <w:sz w:val="24"/>
          <w:szCs w:val="24"/>
          <w:lang w:val="en-US" w:eastAsia="ru-RU"/>
        </w:rPr>
        <w:t>Sunday Times</w:t>
      </w:r>
      <w:r w:rsidRPr="009B410A">
        <w:rPr>
          <w:rFonts w:ascii="Times New Roman" w:eastAsia="Times New Roman" w:hAnsi="Times New Roman" w:cs="Times New Roman"/>
          <w:sz w:val="24"/>
          <w:szCs w:val="24"/>
          <w:lang w:val="kk-KZ" w:eastAsia="ru-RU"/>
        </w:rPr>
        <w:t xml:space="preserve"> газеттері электрондық түрде де қол жетерлік. Оқырманға оның толық мазмұны тегін ұсынылады. Интерактивтік мүмкіндік-терді пайдалана отырып, пайдаланушылар газетті өз мүдделері мен талғам-дарына сай орната алады, сондай-ақ бұрынғы мақалаларда шыққан түйін сөздер бойынша іздеуді жүзеге асырады. </w:t>
      </w:r>
    </w:p>
    <w:p w14:paraId="03822CF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Интернационалдық байланыстар.</w:t>
      </w:r>
    </w:p>
    <w:p w14:paraId="3402B4C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Global Tradepoint Network </w:t>
      </w:r>
      <w:r w:rsidRPr="009B410A">
        <w:rPr>
          <w:rFonts w:ascii="Times New Roman" w:eastAsia="Times New Roman" w:hAnsi="Times New Roman" w:cs="Times New Roman"/>
          <w:sz w:val="24"/>
          <w:szCs w:val="24"/>
          <w:u w:val="single"/>
          <w:lang w:val="kk-KZ" w:eastAsia="ru-RU"/>
        </w:rPr>
        <w:t>(http://www.unicc.org/untpdc).</w:t>
      </w:r>
    </w:p>
    <w:p w14:paraId="66DD011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Global Tradepoint Network, БҰҰ қолдайтын электрондық сауда тиімділігі программасының шеңберінде жасалған іскер ақпараттың үлкен желісі болып табылады. Бұл желі, деректердің қолданыстағы ұлттық базаларымен қарым-қатынас жасай отырып, барлық әлем елдерін түйінді коммерциялық ақпаратпен қамтамасыз ету мақсатын қояды. Бұл деректерге, мысалы, рынок туралы, тасымалдау мүмкіндігі мен құны, сақтандыру, несие, тапсырушылар талаптары және импорт/экспорт ережелері жөнінде ақпарат енеді. Бұдан басқа, «электрондық сауданың» арнайы жүйесі барлық әлемнің сатып алушылары мен сатушыларының кездесу орны болып қызмет етеді. Әлеуетті сатып алушы мен сатушы бір-біріне қаншалықты сай келетіні географиялық толықтық және ұсынатын немесе қажетті өнімдер жайлы ақпараттар негізінде анықталады. Әлеуеттік сәйкестікті бекіткен соң, сатып алушы мен сатушы тікелей байланысқа түседі. </w:t>
      </w:r>
    </w:p>
    <w:p w14:paraId="4780ADC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Бөлінетін бизнес-процестер.</w:t>
      </w:r>
    </w:p>
    <w:p w14:paraId="2E98330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Tesco.</w:t>
      </w:r>
    </w:p>
    <w:p w14:paraId="1FEAEED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Tesco Ұлыбританияда 540 астам супермаркеттермен жұмыс істейді. Компания «сатылғыштық негізінде тапсырыс» жүйесін қолданады, ол электрондық тәсілмен тауардың сатылуы туралы, жеке супермаркеттерден жинап алынған ақпаратты бақылау орталығының компьютерлеріне жібереді. Бұл компьютерлер, әрбір дүкеннің қорын толтыруға қажетті тауарлардың атауларын анықтайды да, осы ақпаратты сол дүкенге қызмет көрсететін Tesco қоймаларының компьютерлеріне жібереді. Көптеген өнімдер Tesco қоймала-рында жатпайды да, сондықтан тапсырыстар автоматтық түрде қалыптасады да, деректермен электрондық алмасу технологиясының (EDI) көмегімен компания жеткізушілеріне беріледі. Tesco қоймасына жеткізілгеннен кейін, тауардың қажетті қоры бірден өздеріне сәйкес дүкендерге жөнелтіледі.</w:t>
      </w:r>
    </w:p>
    <w:p w14:paraId="12DA3AC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sectPr w:rsidR="009B410A" w:rsidRPr="009B410A" w:rsidSect="00894E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61002A87" w:usb1="80000000" w:usb2="00000008"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9B410A"/>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2D7E"/>
    <w:rsid w:val="00223F27"/>
    <w:rsid w:val="00224711"/>
    <w:rsid w:val="00227D47"/>
    <w:rsid w:val="00230A66"/>
    <w:rsid w:val="00230B7A"/>
    <w:rsid w:val="00232798"/>
    <w:rsid w:val="00232BCE"/>
    <w:rsid w:val="002349B8"/>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805BB"/>
    <w:rsid w:val="00280A26"/>
    <w:rsid w:val="00280B7C"/>
    <w:rsid w:val="00282A7F"/>
    <w:rsid w:val="00282F19"/>
    <w:rsid w:val="00284D6D"/>
    <w:rsid w:val="002856E5"/>
    <w:rsid w:val="002858FE"/>
    <w:rsid w:val="002863C8"/>
    <w:rsid w:val="00287F54"/>
    <w:rsid w:val="0029005B"/>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7315"/>
    <w:rsid w:val="003A7331"/>
    <w:rsid w:val="003A78C1"/>
    <w:rsid w:val="003B0550"/>
    <w:rsid w:val="003B05EC"/>
    <w:rsid w:val="003B0FC4"/>
    <w:rsid w:val="003B33E3"/>
    <w:rsid w:val="003B4B12"/>
    <w:rsid w:val="003B5F30"/>
    <w:rsid w:val="003B749F"/>
    <w:rsid w:val="003C0843"/>
    <w:rsid w:val="003C0851"/>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EE6"/>
    <w:rsid w:val="00486A62"/>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77F"/>
    <w:rsid w:val="004B4A60"/>
    <w:rsid w:val="004B5B2E"/>
    <w:rsid w:val="004B5EA2"/>
    <w:rsid w:val="004B5F9E"/>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4B5B"/>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841"/>
    <w:rsid w:val="008C6912"/>
    <w:rsid w:val="008C6F71"/>
    <w:rsid w:val="008C6FC6"/>
    <w:rsid w:val="008C7232"/>
    <w:rsid w:val="008C7454"/>
    <w:rsid w:val="008D1054"/>
    <w:rsid w:val="008D16AC"/>
    <w:rsid w:val="008D1A42"/>
    <w:rsid w:val="008D1CE1"/>
    <w:rsid w:val="008D390C"/>
    <w:rsid w:val="008D484E"/>
    <w:rsid w:val="008D4986"/>
    <w:rsid w:val="008D4A42"/>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10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EAE"/>
    <w:rsid w:val="00E027ED"/>
    <w:rsid w:val="00E029FC"/>
    <w:rsid w:val="00E03AB1"/>
    <w:rsid w:val="00E04D06"/>
    <w:rsid w:val="00E05FFF"/>
    <w:rsid w:val="00E06EF3"/>
    <w:rsid w:val="00E079EE"/>
    <w:rsid w:val="00E1298C"/>
    <w:rsid w:val="00E13890"/>
    <w:rsid w:val="00E13926"/>
    <w:rsid w:val="00E15117"/>
    <w:rsid w:val="00E159DD"/>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803"/>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E27AA"/>
  <w15:docId w15:val="{41C97CD2-7299-4E64-96AA-F94E7F055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4E11"/>
  </w:style>
  <w:style w:type="paragraph" w:styleId="1">
    <w:name w:val="heading 1"/>
    <w:basedOn w:val="a"/>
    <w:link w:val="10"/>
    <w:uiPriority w:val="9"/>
    <w:qFormat/>
    <w:rsid w:val="00F348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F348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F3480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listparagraph0">
    <w:name w:val="msolistparagraph0"/>
    <w:basedOn w:val="a"/>
    <w:rsid w:val="009B41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Обычный1"/>
    <w:basedOn w:val="a"/>
    <w:rsid w:val="009B41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9B410A"/>
    <w:rPr>
      <w:color w:val="0000FF"/>
      <w:u w:val="single"/>
    </w:rPr>
  </w:style>
  <w:style w:type="character" w:styleId="a4">
    <w:name w:val="FollowedHyperlink"/>
    <w:basedOn w:val="a0"/>
    <w:uiPriority w:val="99"/>
    <w:semiHidden/>
    <w:unhideWhenUsed/>
    <w:rsid w:val="009B410A"/>
    <w:rPr>
      <w:color w:val="800080"/>
      <w:u w:val="single"/>
    </w:rPr>
  </w:style>
  <w:style w:type="paragraph" w:styleId="a5">
    <w:name w:val="Balloon Text"/>
    <w:basedOn w:val="a"/>
    <w:link w:val="a6"/>
    <w:uiPriority w:val="99"/>
    <w:semiHidden/>
    <w:unhideWhenUsed/>
    <w:rsid w:val="009B410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B410A"/>
    <w:rPr>
      <w:rFonts w:ascii="Tahoma" w:hAnsi="Tahoma" w:cs="Tahoma"/>
      <w:sz w:val="16"/>
      <w:szCs w:val="16"/>
    </w:rPr>
  </w:style>
  <w:style w:type="character" w:customStyle="1" w:styleId="10">
    <w:name w:val="Заголовок 1 Знак"/>
    <w:basedOn w:val="a0"/>
    <w:link w:val="1"/>
    <w:uiPriority w:val="9"/>
    <w:rsid w:val="00F34803"/>
    <w:rPr>
      <w:rFonts w:ascii="Times New Roman" w:eastAsia="Times New Roman" w:hAnsi="Times New Roman" w:cs="Times New Roman"/>
      <w:b/>
      <w:bCs/>
      <w:kern w:val="36"/>
      <w:sz w:val="48"/>
      <w:szCs w:val="48"/>
      <w:lang w:eastAsia="ru-RU"/>
    </w:rPr>
  </w:style>
  <w:style w:type="paragraph" w:styleId="a7">
    <w:name w:val="List Paragraph"/>
    <w:basedOn w:val="a"/>
    <w:uiPriority w:val="34"/>
    <w:qFormat/>
    <w:rsid w:val="00F348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F34803"/>
    <w:rPr>
      <w:rFonts w:asciiTheme="majorHAnsi" w:eastAsiaTheme="majorEastAsia" w:hAnsiTheme="majorHAnsi" w:cstheme="majorBidi"/>
      <w:b/>
      <w:bCs/>
      <w:color w:val="4F81BD" w:themeColor="accent1"/>
    </w:rPr>
  </w:style>
  <w:style w:type="character" w:customStyle="1" w:styleId="20">
    <w:name w:val="Заголовок 2 Знак"/>
    <w:basedOn w:val="a0"/>
    <w:link w:val="2"/>
    <w:uiPriority w:val="9"/>
    <w:rsid w:val="00F34803"/>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139735">
      <w:bodyDiv w:val="1"/>
      <w:marLeft w:val="0"/>
      <w:marRight w:val="0"/>
      <w:marTop w:val="0"/>
      <w:marBottom w:val="0"/>
      <w:divBdr>
        <w:top w:val="none" w:sz="0" w:space="0" w:color="auto"/>
        <w:left w:val="none" w:sz="0" w:space="0" w:color="auto"/>
        <w:bottom w:val="none" w:sz="0" w:space="0" w:color="auto"/>
        <w:right w:val="none" w:sz="0" w:space="0" w:color="auto"/>
      </w:divBdr>
    </w:div>
    <w:div w:id="767121375">
      <w:bodyDiv w:val="1"/>
      <w:marLeft w:val="0"/>
      <w:marRight w:val="0"/>
      <w:marTop w:val="0"/>
      <w:marBottom w:val="0"/>
      <w:divBdr>
        <w:top w:val="none" w:sz="0" w:space="0" w:color="auto"/>
        <w:left w:val="none" w:sz="0" w:space="0" w:color="auto"/>
        <w:bottom w:val="none" w:sz="0" w:space="0" w:color="auto"/>
        <w:right w:val="none" w:sz="0" w:space="0" w:color="auto"/>
      </w:divBdr>
    </w:div>
    <w:div w:id="772432686">
      <w:bodyDiv w:val="1"/>
      <w:marLeft w:val="0"/>
      <w:marRight w:val="0"/>
      <w:marTop w:val="0"/>
      <w:marBottom w:val="0"/>
      <w:divBdr>
        <w:top w:val="none" w:sz="0" w:space="0" w:color="auto"/>
        <w:left w:val="none" w:sz="0" w:space="0" w:color="auto"/>
        <w:bottom w:val="none" w:sz="0" w:space="0" w:color="auto"/>
        <w:right w:val="none" w:sz="0" w:space="0" w:color="auto"/>
      </w:divBdr>
      <w:divsChild>
        <w:div w:id="1358383784">
          <w:marLeft w:val="0"/>
          <w:marRight w:val="0"/>
          <w:marTop w:val="0"/>
          <w:marBottom w:val="0"/>
          <w:divBdr>
            <w:top w:val="none" w:sz="0" w:space="0" w:color="auto"/>
            <w:left w:val="none" w:sz="0" w:space="0" w:color="auto"/>
            <w:bottom w:val="none" w:sz="0" w:space="0" w:color="auto"/>
            <w:right w:val="none" w:sz="0" w:space="0" w:color="auto"/>
          </w:divBdr>
        </w:div>
      </w:divsChild>
    </w:div>
    <w:div w:id="1890528235">
      <w:bodyDiv w:val="1"/>
      <w:marLeft w:val="0"/>
      <w:marRight w:val="0"/>
      <w:marTop w:val="0"/>
      <w:marBottom w:val="0"/>
      <w:divBdr>
        <w:top w:val="none" w:sz="0" w:space="0" w:color="auto"/>
        <w:left w:val="none" w:sz="0" w:space="0" w:color="auto"/>
        <w:bottom w:val="none" w:sz="0" w:space="0" w:color="auto"/>
        <w:right w:val="none" w:sz="0" w:space="0" w:color="auto"/>
      </w:divBdr>
    </w:div>
    <w:div w:id="2053462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TotalTime>
  <Pages>6</Pages>
  <Words>2611</Words>
  <Characters>14887</Characters>
  <Application>Microsoft Office Word</Application>
  <DocSecurity>0</DocSecurity>
  <Lines>124</Lines>
  <Paragraphs>34</Paragraphs>
  <ScaleCrop>false</ScaleCrop>
  <Company>DG Win&amp;Soft</Company>
  <LinksUpToDate>false</LinksUpToDate>
  <CharactersWithSpaces>17464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Абдрахманова Жаннур Сериковна</cp:lastModifiedBy>
  <cp:revision>4</cp:revision>
  <dcterms:created xsi:type="dcterms:W3CDTF">2019-09-30T04:13:00Z</dcterms:created>
  <dcterms:modified xsi:type="dcterms:W3CDTF">2023-10-13T07:41:00Z</dcterms:modified>
</cp:coreProperties>
</file>